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57" w:rsidRPr="00503244" w:rsidRDefault="00B95F57" w:rsidP="00B95F57">
      <w:pPr>
        <w:spacing w:after="0"/>
        <w:jc w:val="center"/>
        <w:rPr>
          <w:rFonts w:ascii="TeXGyreSchola" w:hAnsi="TeXGyreSchola"/>
          <w:b/>
          <w:sz w:val="36"/>
        </w:rPr>
      </w:pPr>
      <w:r>
        <w:rPr>
          <w:rFonts w:ascii="TeXGyreSchola" w:hAnsi="TeXGyreSchola"/>
          <w:b/>
          <w:sz w:val="36"/>
        </w:rPr>
        <w:t>Michael Faraday</w:t>
      </w:r>
    </w:p>
    <w:p w:rsidR="00B95F57" w:rsidRPr="00503244" w:rsidRDefault="00B95F57" w:rsidP="00B95F57">
      <w:pPr>
        <w:spacing w:after="0"/>
        <w:jc w:val="center"/>
        <w:rPr>
          <w:rFonts w:ascii="TeXGyreSchola" w:hAnsi="TeXGyreSchola"/>
          <w:b/>
          <w:sz w:val="28"/>
        </w:rPr>
      </w:pPr>
      <w:r w:rsidRPr="00503244">
        <w:rPr>
          <w:rFonts w:ascii="TeXGyreSchola" w:hAnsi="TeXGyreSchola"/>
          <w:b/>
          <w:sz w:val="28"/>
        </w:rPr>
        <w:t>(</w:t>
      </w:r>
      <w:r>
        <w:rPr>
          <w:rFonts w:ascii="TeXGyreSchola" w:hAnsi="TeXGyreSchola"/>
          <w:b/>
          <w:sz w:val="28"/>
        </w:rPr>
        <w:t>1791-1867</w:t>
      </w:r>
      <w:r w:rsidRPr="00503244">
        <w:rPr>
          <w:rFonts w:ascii="TeXGyreSchola" w:hAnsi="TeXGyreSchola"/>
          <w:b/>
          <w:sz w:val="28"/>
        </w:rPr>
        <w:t>)</w:t>
      </w:r>
    </w:p>
    <w:p w:rsidR="00B95F57" w:rsidRDefault="00B95F57" w:rsidP="00B95F57">
      <w:pPr>
        <w:spacing w:after="0"/>
        <w:jc w:val="both"/>
        <w:rPr>
          <w:rFonts w:ascii="TeXGyreSchola" w:hAnsi="TeXGyreSchola"/>
          <w:sz w:val="24"/>
        </w:rPr>
      </w:pPr>
    </w:p>
    <w:p w:rsidR="00B95F57" w:rsidRDefault="00F35A87" w:rsidP="00B95F57">
      <w:pPr>
        <w:spacing w:after="0"/>
        <w:rPr>
          <w:rFonts w:ascii="TeXGyreSchola" w:hAnsi="TeXGyreSchola"/>
          <w:sz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1895475" cy="2612390"/>
            <wp:effectExtent l="0" t="0" r="9525" b="0"/>
            <wp:wrapSquare wrapText="bothSides"/>
            <wp:docPr id="1" name="Kép 1" descr="Képtalálat a következ&amp;odblac;re: „michael farada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&amp;odblac;re: „michael faraday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F57" w:rsidRDefault="00B95F57" w:rsidP="00B95F57">
      <w:pPr>
        <w:pStyle w:val="Listaszerbekezds"/>
        <w:numPr>
          <w:ilvl w:val="0"/>
          <w:numId w:val="1"/>
        </w:numPr>
        <w:spacing w:after="0"/>
        <w:ind w:left="0" w:firstLine="284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Angol f</w:t>
      </w:r>
      <w:r w:rsidRPr="00560B19">
        <w:rPr>
          <w:rFonts w:ascii="TeXGyreSchola" w:hAnsi="TeXGyreSchola"/>
          <w:sz w:val="24"/>
        </w:rPr>
        <w:t>izikus</w:t>
      </w:r>
      <w:r w:rsidR="00E270FE">
        <w:rPr>
          <w:rFonts w:ascii="TeXGyreSchola" w:hAnsi="TeXGyreSchola"/>
          <w:sz w:val="24"/>
        </w:rPr>
        <w:t xml:space="preserve"> és kémikus</w:t>
      </w:r>
    </w:p>
    <w:p w:rsidR="00B95F57" w:rsidRPr="00560B19" w:rsidRDefault="00B95F57" w:rsidP="00B95F57">
      <w:pPr>
        <w:pStyle w:val="Listaszerbekezds"/>
        <w:numPr>
          <w:ilvl w:val="0"/>
          <w:numId w:val="1"/>
        </w:numPr>
        <w:spacing w:after="0"/>
        <w:ind w:left="0" w:firstLine="284"/>
        <w:jc w:val="both"/>
        <w:rPr>
          <w:rFonts w:ascii="TeXGyreSchola" w:hAnsi="TeXGyreSchola"/>
          <w:sz w:val="24"/>
        </w:rPr>
      </w:pPr>
      <w:r w:rsidRPr="00560B19">
        <w:rPr>
          <w:rFonts w:ascii="TeXGyreSchola" w:hAnsi="TeXGyreSchola"/>
          <w:sz w:val="24"/>
        </w:rPr>
        <w:t xml:space="preserve">Született: </w:t>
      </w:r>
      <w:r w:rsidR="00E270FE">
        <w:rPr>
          <w:rFonts w:ascii="TeXGyreSchola" w:hAnsi="TeXGyreSchola"/>
          <w:sz w:val="24"/>
        </w:rPr>
        <w:t>1791, Newington Butts (London mellett); apja kovácsmester volt</w:t>
      </w:r>
    </w:p>
    <w:p w:rsidR="00B95F57" w:rsidRDefault="00B95F57" w:rsidP="00B95F57">
      <w:pPr>
        <w:pStyle w:val="Listaszerbekezds"/>
        <w:numPr>
          <w:ilvl w:val="0"/>
          <w:numId w:val="1"/>
        </w:numPr>
        <w:spacing w:after="0"/>
        <w:ind w:left="0" w:firstLine="284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Tanulmányai:</w:t>
      </w:r>
      <w:bookmarkStart w:id="0" w:name="_GoBack"/>
      <w:bookmarkEnd w:id="0"/>
    </w:p>
    <w:p w:rsidR="00E270FE" w:rsidRDefault="00E270FE" w:rsidP="00E270FE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George Riebau könyvkötőmester inasa</w:t>
      </w:r>
    </w:p>
    <w:p w:rsidR="00E270FE" w:rsidRDefault="00C12445" w:rsidP="00E270FE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Hét éves szolgálata alatt számos tudományos témájú könyvet elolvasott</w:t>
      </w:r>
    </w:p>
    <w:p w:rsidR="00C12445" w:rsidRDefault="00C12445" w:rsidP="00E270FE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 xml:space="preserve">Emellett Sir Humphry Davy, a </w:t>
      </w:r>
      <w:r w:rsidRPr="00C12445">
        <w:rPr>
          <w:rFonts w:ascii="TeXGyreSchola" w:hAnsi="TeXGyreSchola"/>
          <w:i/>
          <w:sz w:val="24"/>
        </w:rPr>
        <w:t>Royal Society</w:t>
      </w:r>
      <w:r>
        <w:rPr>
          <w:rFonts w:ascii="TeXGyreSchola" w:hAnsi="TeXGyreSchola"/>
          <w:sz w:val="24"/>
        </w:rPr>
        <w:t xml:space="preserve"> elnökének előadásait hallgatta</w:t>
      </w:r>
    </w:p>
    <w:p w:rsidR="00B95F57" w:rsidRDefault="00B95F57" w:rsidP="00B95F57">
      <w:pPr>
        <w:pStyle w:val="Listaszerbekezds"/>
        <w:numPr>
          <w:ilvl w:val="0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Munkássága:</w:t>
      </w:r>
    </w:p>
    <w:p w:rsidR="00C12445" w:rsidRDefault="00C12445" w:rsidP="00C12445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1825: felfedezte a benzolt</w:t>
      </w:r>
    </w:p>
    <w:p w:rsidR="00C12445" w:rsidRDefault="00C12445" w:rsidP="00C12445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1831: az elektromágneses indukció törvénye</w:t>
      </w:r>
    </w:p>
    <w:p w:rsidR="00C12445" w:rsidRDefault="00C12445" w:rsidP="00C12445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1832: elektrolízis, elektrokémiai egyenérték, Faraday-törvények</w:t>
      </w:r>
    </w:p>
    <w:p w:rsidR="00C12445" w:rsidRDefault="00C12445" w:rsidP="00C12445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1836: Faraday-kalitka</w:t>
      </w:r>
    </w:p>
    <w:p w:rsidR="00C12445" w:rsidRDefault="00C12445" w:rsidP="00C12445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1845: a diamágnesesség felfedezése</w:t>
      </w:r>
    </w:p>
    <w:p w:rsidR="00F1633B" w:rsidRPr="00C12445" w:rsidRDefault="00F1633B" w:rsidP="00C12445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1845: Faraday-effektus (a fény polarizációs síkjának eltérülése mágneses térben)</w:t>
      </w:r>
    </w:p>
    <w:p w:rsidR="00C12445" w:rsidRPr="00F1633B" w:rsidRDefault="00C12445" w:rsidP="00C12445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A kapacitás mértékegysége</w:t>
      </w:r>
      <w:r w:rsidR="00F1633B">
        <w:rPr>
          <w:rFonts w:ascii="TeXGyreSchola" w:hAnsi="TeXGyreSchola"/>
          <w:sz w:val="24"/>
        </w:rPr>
        <w:t xml:space="preserve">: </w:t>
      </w:r>
      <w:r w:rsidR="00F1633B" w:rsidRPr="00F1633B">
        <w:rPr>
          <w:rFonts w:ascii="TeXGyreSchola" w:hAnsi="TeXGyreSchola"/>
          <w:i/>
          <w:sz w:val="24"/>
        </w:rPr>
        <w:t>Farad</w:t>
      </w:r>
    </w:p>
    <w:p w:rsidR="00F1633B" w:rsidRDefault="00F1633B" w:rsidP="00C12445">
      <w:pPr>
        <w:pStyle w:val="Listaszerbekezds"/>
        <w:numPr>
          <w:ilvl w:val="1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 xml:space="preserve">Egy mol elektron töltése: </w:t>
      </w:r>
      <w:r w:rsidRPr="00F1633B">
        <w:rPr>
          <w:rFonts w:ascii="TeXGyreSchola" w:hAnsi="TeXGyreSchola"/>
          <w:i/>
          <w:sz w:val="24"/>
        </w:rPr>
        <w:t>Faraday-állandó</w:t>
      </w:r>
    </w:p>
    <w:p w:rsidR="00B95F57" w:rsidRPr="00FC02F3" w:rsidRDefault="00B95F57" w:rsidP="00B95F57">
      <w:pPr>
        <w:pStyle w:val="Listaszerbekezds"/>
        <w:numPr>
          <w:ilvl w:val="0"/>
          <w:numId w:val="1"/>
        </w:numPr>
        <w:spacing w:after="0"/>
        <w:jc w:val="both"/>
        <w:rPr>
          <w:rFonts w:ascii="TeXGyreSchola" w:hAnsi="TeXGyreSchola"/>
          <w:sz w:val="24"/>
        </w:rPr>
      </w:pPr>
      <w:r>
        <w:rPr>
          <w:rFonts w:ascii="TeXGyreSchola" w:hAnsi="TeXGyreSchola"/>
          <w:sz w:val="24"/>
        </w:rPr>
        <w:t>Meghalt:</w:t>
      </w:r>
      <w:r w:rsidR="00F1633B">
        <w:rPr>
          <w:rFonts w:ascii="TeXGyreSchola" w:hAnsi="TeXGyreSchola"/>
          <w:sz w:val="24"/>
        </w:rPr>
        <w:t xml:space="preserve"> 1867, </w:t>
      </w:r>
      <w:r w:rsidR="00F1633B" w:rsidRPr="00F1633B">
        <w:rPr>
          <w:rFonts w:ascii="TeXGyreSchola" w:hAnsi="TeXGyreSchola"/>
          <w:i/>
          <w:sz w:val="24"/>
        </w:rPr>
        <w:t>Hampton Court Palace</w:t>
      </w:r>
      <w:r w:rsidR="00F1633B">
        <w:rPr>
          <w:rFonts w:ascii="TeXGyreSchola" w:hAnsi="TeXGyreSchola"/>
          <w:sz w:val="24"/>
        </w:rPr>
        <w:t>, London</w:t>
      </w:r>
      <w:r w:rsidR="00F35A87" w:rsidRPr="00F35A87">
        <w:t xml:space="preserve"> </w:t>
      </w:r>
    </w:p>
    <w:p w:rsidR="007751B7" w:rsidRPr="00B95F57" w:rsidRDefault="0082224E" w:rsidP="00B95F57"/>
    <w:sectPr w:rsidR="007751B7" w:rsidRPr="00B95F57" w:rsidSect="008222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eXGyreSchola">
    <w:panose1 w:val="000005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E6856"/>
    <w:multiLevelType w:val="hybridMultilevel"/>
    <w:tmpl w:val="F6C442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E9831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57"/>
    <w:rsid w:val="000D4E38"/>
    <w:rsid w:val="0082224E"/>
    <w:rsid w:val="00913421"/>
    <w:rsid w:val="00B95F57"/>
    <w:rsid w:val="00C12445"/>
    <w:rsid w:val="00E270FE"/>
    <w:rsid w:val="00F1633B"/>
    <w:rsid w:val="00F3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997F"/>
  <w15:chartTrackingRefBased/>
  <w15:docId w15:val="{03DB4EAD-B729-4F72-809D-D78BB9A2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B95F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</dc:creator>
  <cp:keywords/>
  <dc:description/>
  <cp:lastModifiedBy>Róbert</cp:lastModifiedBy>
  <cp:revision>5</cp:revision>
  <dcterms:created xsi:type="dcterms:W3CDTF">2017-05-28T14:54:00Z</dcterms:created>
  <dcterms:modified xsi:type="dcterms:W3CDTF">2017-05-28T15:44:00Z</dcterms:modified>
</cp:coreProperties>
</file>