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2A" w:rsidRPr="0099488E" w:rsidRDefault="001E2A08">
      <w:pPr>
        <w:rPr>
          <w:sz w:val="32"/>
          <w:szCs w:val="32"/>
          <w:lang w:val="hu-HU"/>
        </w:rPr>
      </w:pPr>
      <w:r w:rsidRPr="0099488E">
        <w:rPr>
          <w:sz w:val="32"/>
          <w:szCs w:val="32"/>
          <w:lang w:val="hu-HU"/>
        </w:rPr>
        <w:t>Az emberi kommunikáció nem nyelvi kifejezőeszközei</w:t>
      </w:r>
    </w:p>
    <w:p w:rsidR="00FE4366" w:rsidRDefault="00FE4366" w:rsidP="00FE4366">
      <w:pPr>
        <w:rPr>
          <w:lang w:val="hu-HU"/>
        </w:rPr>
      </w:pPr>
      <w:r>
        <w:rPr>
          <w:lang w:val="hu-HU"/>
        </w:rPr>
        <w:t>(nonverbális kommunikáció)</w:t>
      </w:r>
    </w:p>
    <w:p w:rsidR="001E2A08" w:rsidRDefault="00FE4366" w:rsidP="00FE4366">
      <w:pPr>
        <w:rPr>
          <w:lang w:val="hu-HU"/>
        </w:rPr>
      </w:pPr>
      <w:r w:rsidRPr="00FE4366">
        <w:rPr>
          <w:lang w:val="hu-HU"/>
        </w:rPr>
        <w:t>I.</w:t>
      </w:r>
      <w:r>
        <w:rPr>
          <w:lang w:val="hu-HU"/>
        </w:rPr>
        <w:t xml:space="preserve"> </w:t>
      </w:r>
      <w:r w:rsidRPr="00FE4366">
        <w:rPr>
          <w:lang w:val="hu-HU"/>
        </w:rPr>
        <w:t>Szóbeli</w:t>
      </w:r>
    </w:p>
    <w:p w:rsidR="00FE4366" w:rsidRDefault="0099488E" w:rsidP="001834B3">
      <w:pPr>
        <w:ind w:firstLine="720"/>
        <w:rPr>
          <w:lang w:val="hu-HU"/>
        </w:rPr>
      </w:pPr>
      <w:r>
        <w:rPr>
          <w:lang w:val="hu-HU"/>
        </w:rPr>
        <w:t>Gesztikulálás (testjáték)</w:t>
      </w:r>
    </w:p>
    <w:p w:rsidR="0099488E" w:rsidRDefault="0099488E" w:rsidP="00FE4366">
      <w:pPr>
        <w:rPr>
          <w:lang w:val="hu-HU"/>
        </w:rPr>
      </w:pPr>
      <w:r>
        <w:rPr>
          <w:lang w:val="hu-HU"/>
        </w:rPr>
        <w:tab/>
      </w:r>
      <w:r w:rsidR="001834B3">
        <w:rPr>
          <w:lang w:val="hu-HU"/>
        </w:rPr>
        <w:tab/>
      </w:r>
      <w:r>
        <w:rPr>
          <w:lang w:val="hu-HU"/>
        </w:rPr>
        <w:t>Mimika</w:t>
      </w:r>
    </w:p>
    <w:p w:rsidR="0099488E" w:rsidRDefault="001834B3" w:rsidP="00FE4366">
      <w:pPr>
        <w:rPr>
          <w:lang w:val="hu-HU"/>
        </w:rPr>
      </w:pPr>
      <w:r>
        <w:rPr>
          <w:lang w:val="hu-HU"/>
        </w:rPr>
        <w:tab/>
      </w:r>
      <w:r w:rsidR="0099488E">
        <w:rPr>
          <w:lang w:val="hu-HU"/>
        </w:rPr>
        <w:tab/>
        <w:t>Taglejtés</w:t>
      </w:r>
    </w:p>
    <w:p w:rsidR="0099488E" w:rsidRDefault="0099488E" w:rsidP="00FE4366">
      <w:pPr>
        <w:rPr>
          <w:lang w:val="hu-HU"/>
        </w:rPr>
      </w:pPr>
      <w:r>
        <w:rPr>
          <w:lang w:val="hu-HU"/>
        </w:rPr>
        <w:tab/>
      </w:r>
      <w:r w:rsidR="001834B3">
        <w:rPr>
          <w:lang w:val="hu-HU"/>
        </w:rPr>
        <w:tab/>
      </w:r>
      <w:r>
        <w:rPr>
          <w:lang w:val="hu-HU"/>
        </w:rPr>
        <w:t>Testtartás</w:t>
      </w:r>
    </w:p>
    <w:p w:rsidR="0099488E" w:rsidRDefault="001834B3" w:rsidP="00FE4366">
      <w:pPr>
        <w:rPr>
          <w:lang w:val="hu-HU"/>
        </w:rPr>
      </w:pPr>
      <w:r>
        <w:rPr>
          <w:lang w:val="hu-HU"/>
        </w:rPr>
        <w:tab/>
      </w:r>
      <w:r w:rsidR="0099488E">
        <w:rPr>
          <w:lang w:val="hu-HU"/>
        </w:rPr>
        <w:tab/>
        <w:t>Térközszabályozás (a kommunikáló felek közti távolság megválasztása)</w:t>
      </w:r>
    </w:p>
    <w:p w:rsidR="0099488E" w:rsidRDefault="0099488E" w:rsidP="00FE4366">
      <w:pPr>
        <w:rPr>
          <w:lang w:val="hu-HU"/>
        </w:rPr>
      </w:pPr>
      <w:r>
        <w:rPr>
          <w:lang w:val="hu-HU"/>
        </w:rPr>
        <w:tab/>
      </w:r>
      <w:r w:rsidR="001834B3">
        <w:rPr>
          <w:lang w:val="hu-HU"/>
        </w:rPr>
        <w:tab/>
      </w:r>
      <w:r>
        <w:rPr>
          <w:lang w:val="hu-HU"/>
        </w:rPr>
        <w:t>Külső megjelenés</w:t>
      </w:r>
    </w:p>
    <w:p w:rsidR="00FF5084" w:rsidRDefault="00FF5084" w:rsidP="001834B3">
      <w:pPr>
        <w:ind w:firstLine="720"/>
        <w:rPr>
          <w:lang w:val="hu-HU"/>
        </w:rPr>
      </w:pPr>
      <w:r>
        <w:rPr>
          <w:lang w:val="hu-HU"/>
        </w:rPr>
        <w:t>Fonetikai</w:t>
      </w:r>
    </w:p>
    <w:p w:rsidR="006760C8" w:rsidRDefault="006760C8" w:rsidP="006760C8">
      <w:pPr>
        <w:ind w:firstLine="720"/>
        <w:rPr>
          <w:lang w:val="hu-HU"/>
        </w:rPr>
      </w:pPr>
      <w:r>
        <w:rPr>
          <w:lang w:val="hu-HU"/>
        </w:rPr>
        <w:tab/>
        <w:t>Hangjelek</w:t>
      </w:r>
    </w:p>
    <w:p w:rsidR="00FF5084" w:rsidRDefault="00FF5084" w:rsidP="00FE4366">
      <w:pPr>
        <w:rPr>
          <w:lang w:val="hu-HU"/>
        </w:rPr>
      </w:pPr>
      <w:r>
        <w:rPr>
          <w:lang w:val="hu-HU"/>
        </w:rPr>
        <w:tab/>
      </w:r>
      <w:r w:rsidR="001834B3">
        <w:rPr>
          <w:lang w:val="hu-HU"/>
        </w:rPr>
        <w:tab/>
      </w:r>
      <w:r>
        <w:rPr>
          <w:lang w:val="hu-HU"/>
        </w:rPr>
        <w:t>Hangsúly</w:t>
      </w:r>
    </w:p>
    <w:p w:rsidR="00FF5084" w:rsidRDefault="00FF5084" w:rsidP="00FE4366">
      <w:pPr>
        <w:rPr>
          <w:lang w:val="hu-HU"/>
        </w:rPr>
      </w:pPr>
      <w:r>
        <w:rPr>
          <w:lang w:val="hu-HU"/>
        </w:rPr>
        <w:tab/>
      </w:r>
      <w:r w:rsidR="001834B3">
        <w:rPr>
          <w:lang w:val="hu-HU"/>
        </w:rPr>
        <w:tab/>
      </w:r>
      <w:r>
        <w:rPr>
          <w:lang w:val="hu-HU"/>
        </w:rPr>
        <w:t>Hanglejtés</w:t>
      </w:r>
    </w:p>
    <w:p w:rsidR="00FF5084" w:rsidRDefault="001834B3" w:rsidP="00FE4366">
      <w:pPr>
        <w:rPr>
          <w:lang w:val="hu-HU"/>
        </w:rPr>
      </w:pPr>
      <w:r>
        <w:rPr>
          <w:lang w:val="hu-HU"/>
        </w:rPr>
        <w:tab/>
      </w:r>
      <w:r w:rsidR="00FF5084">
        <w:rPr>
          <w:lang w:val="hu-HU"/>
        </w:rPr>
        <w:tab/>
        <w:t>Hangerő</w:t>
      </w:r>
    </w:p>
    <w:p w:rsidR="00FF5084" w:rsidRDefault="001834B3" w:rsidP="00FE4366">
      <w:pPr>
        <w:rPr>
          <w:lang w:val="hu-HU"/>
        </w:rPr>
      </w:pPr>
      <w:r>
        <w:rPr>
          <w:lang w:val="hu-HU"/>
        </w:rPr>
        <w:tab/>
      </w:r>
      <w:r w:rsidR="00FF5084">
        <w:rPr>
          <w:lang w:val="hu-HU"/>
        </w:rPr>
        <w:tab/>
        <w:t>Hangszín</w:t>
      </w:r>
    </w:p>
    <w:p w:rsidR="00FF5084" w:rsidRDefault="001834B3" w:rsidP="00FE4366">
      <w:pPr>
        <w:rPr>
          <w:lang w:val="hu-HU"/>
        </w:rPr>
      </w:pPr>
      <w:r>
        <w:rPr>
          <w:lang w:val="hu-HU"/>
        </w:rPr>
        <w:tab/>
      </w:r>
      <w:r w:rsidR="00FF5084">
        <w:rPr>
          <w:lang w:val="hu-HU"/>
        </w:rPr>
        <w:tab/>
        <w:t>Beszédszünet</w:t>
      </w:r>
    </w:p>
    <w:p w:rsidR="00FF5084" w:rsidRDefault="001834B3" w:rsidP="00FE4366">
      <w:pPr>
        <w:rPr>
          <w:lang w:val="hu-HU"/>
        </w:rPr>
      </w:pPr>
      <w:r>
        <w:rPr>
          <w:lang w:val="hu-HU"/>
        </w:rPr>
        <w:tab/>
      </w:r>
      <w:r w:rsidR="00FF5084">
        <w:rPr>
          <w:lang w:val="hu-HU"/>
        </w:rPr>
        <w:tab/>
        <w:t>Beszédtempó</w:t>
      </w:r>
    </w:p>
    <w:p w:rsidR="00FF5084" w:rsidRDefault="001834B3" w:rsidP="00FE4366">
      <w:pPr>
        <w:rPr>
          <w:lang w:val="hu-HU"/>
        </w:rPr>
      </w:pPr>
      <w:r>
        <w:rPr>
          <w:lang w:val="hu-HU"/>
        </w:rPr>
        <w:tab/>
      </w:r>
      <w:r w:rsidR="00FF5084">
        <w:rPr>
          <w:lang w:val="hu-HU"/>
        </w:rPr>
        <w:tab/>
        <w:t>Csend</w:t>
      </w:r>
    </w:p>
    <w:p w:rsidR="00FF5084" w:rsidRDefault="00F217DE" w:rsidP="00FE4366">
      <w:pPr>
        <w:rPr>
          <w:lang w:val="hu-HU"/>
        </w:rPr>
      </w:pPr>
      <w:r>
        <w:rPr>
          <w:lang w:val="hu-HU"/>
        </w:rPr>
        <w:t>II.</w:t>
      </w:r>
      <w:r w:rsidR="008E7764">
        <w:rPr>
          <w:lang w:val="hu-HU"/>
        </w:rPr>
        <w:t xml:space="preserve"> Írásbeli:</w:t>
      </w:r>
    </w:p>
    <w:p w:rsidR="00E70781" w:rsidRDefault="00E70781" w:rsidP="00FE4366">
      <w:pPr>
        <w:rPr>
          <w:lang w:val="hu-HU"/>
        </w:rPr>
      </w:pPr>
      <w:r>
        <w:rPr>
          <w:lang w:val="hu-HU"/>
        </w:rPr>
        <w:tab/>
        <w:t>A szöveg képe</w:t>
      </w:r>
    </w:p>
    <w:p w:rsidR="00E70781" w:rsidRDefault="00E70781" w:rsidP="00FE436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Ábra</w:t>
      </w:r>
    </w:p>
    <w:p w:rsidR="00E70781" w:rsidRDefault="00E70781" w:rsidP="00FE436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Kép</w:t>
      </w:r>
    </w:p>
    <w:p w:rsidR="00E70781" w:rsidRDefault="00E70781" w:rsidP="00FE436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Aláhúzás</w:t>
      </w:r>
    </w:p>
    <w:p w:rsidR="00E70781" w:rsidRDefault="00E70781" w:rsidP="00FE436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Betűméret</w:t>
      </w:r>
    </w:p>
    <w:p w:rsidR="00E70781" w:rsidRDefault="00E70781" w:rsidP="00FE436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Betűtípus</w:t>
      </w:r>
    </w:p>
    <w:p w:rsidR="00E70781" w:rsidRDefault="00E70781" w:rsidP="00FE436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Sorköz</w:t>
      </w:r>
    </w:p>
    <w:p w:rsidR="00E70781" w:rsidRDefault="00E70781" w:rsidP="00FE436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Mondattagoló írásjelek</w:t>
      </w:r>
    </w:p>
    <w:p w:rsidR="00B213DB" w:rsidRDefault="00B213DB">
      <w:pPr>
        <w:rPr>
          <w:lang w:val="hu-HU"/>
        </w:rPr>
      </w:pPr>
      <w:r>
        <w:rPr>
          <w:lang w:val="hu-HU"/>
        </w:rPr>
        <w:br w:type="page"/>
      </w:r>
    </w:p>
    <w:p w:rsidR="00521CB0" w:rsidRDefault="00521CB0" w:rsidP="00FE4366">
      <w:pPr>
        <w:rPr>
          <w:lang w:val="hu-HU"/>
        </w:rPr>
      </w:pPr>
      <w:r>
        <w:rPr>
          <w:lang w:val="hu-HU"/>
        </w:rPr>
        <w:lastRenderedPageBreak/>
        <w:t>III. A metakommunikáció szerepe:</w:t>
      </w:r>
    </w:p>
    <w:p w:rsidR="00B213DB" w:rsidRDefault="00521CB0" w:rsidP="00521CB0">
      <w:pPr>
        <w:ind w:left="720"/>
        <w:rPr>
          <w:lang w:val="hu-HU"/>
        </w:rPr>
      </w:pPr>
      <w:r>
        <w:rPr>
          <w:lang w:val="hu-HU"/>
        </w:rPr>
        <w:t xml:space="preserve">Nyelvi és nem nyelvi kommunikációs elemek </w:t>
      </w:r>
    </w:p>
    <w:p w:rsidR="00B213DB" w:rsidRDefault="00B213DB" w:rsidP="00B213DB">
      <w:pPr>
        <w:ind w:left="720" w:firstLine="720"/>
        <w:rPr>
          <w:lang w:val="hu-HU"/>
        </w:rPr>
      </w:pPr>
      <w:r>
        <w:rPr>
          <w:lang w:val="hu-HU"/>
        </w:rPr>
        <w:t>I</w:t>
      </w:r>
      <w:r w:rsidR="00521CB0">
        <w:rPr>
          <w:lang w:val="hu-HU"/>
        </w:rPr>
        <w:t>deális ese</w:t>
      </w:r>
      <w:r w:rsidR="00012871">
        <w:rPr>
          <w:lang w:val="hu-HU"/>
        </w:rPr>
        <w:t>tben segítik a kommunikációt</w:t>
      </w:r>
      <w:r>
        <w:rPr>
          <w:lang w:val="hu-HU"/>
        </w:rPr>
        <w:t>, megerősítik az üzenetet</w:t>
      </w:r>
    </w:p>
    <w:p w:rsidR="00521CB0" w:rsidRDefault="00B213DB" w:rsidP="00B213DB">
      <w:pPr>
        <w:ind w:left="720" w:firstLine="720"/>
        <w:rPr>
          <w:lang w:val="hu-HU"/>
        </w:rPr>
      </w:pPr>
      <w:r>
        <w:rPr>
          <w:lang w:val="hu-HU"/>
        </w:rPr>
        <w:t>E</w:t>
      </w:r>
      <w:r w:rsidR="0008558E">
        <w:rPr>
          <w:lang w:val="hu-HU"/>
        </w:rPr>
        <w:t>setleg</w:t>
      </w:r>
      <w:r w:rsidR="00521CB0">
        <w:rPr>
          <w:lang w:val="hu-HU"/>
        </w:rPr>
        <w:t xml:space="preserve"> ezek ellentmondhatnak</w:t>
      </w:r>
      <w:r w:rsidR="001F6A57">
        <w:rPr>
          <w:lang w:val="hu-HU"/>
        </w:rPr>
        <w:t>, ekkor egyik a másikat módosítja, cáfolja</w:t>
      </w:r>
    </w:p>
    <w:p w:rsidR="00780CC4" w:rsidRPr="00FE4366" w:rsidRDefault="00780CC4" w:rsidP="00B213DB">
      <w:pPr>
        <w:ind w:left="720" w:firstLine="720"/>
        <w:rPr>
          <w:lang w:val="hu-HU"/>
        </w:rPr>
      </w:pPr>
      <w:r>
        <w:rPr>
          <w:lang w:val="hu-HU"/>
        </w:rPr>
        <w:t>Hallgató visszajelezhet metakommunikációval (reagálá</w:t>
      </w:r>
      <w:r w:rsidR="00E83375">
        <w:rPr>
          <w:lang w:val="hu-HU"/>
        </w:rPr>
        <w:t>s</w:t>
      </w:r>
      <w:bookmarkStart w:id="0" w:name="_GoBack"/>
      <w:bookmarkEnd w:id="0"/>
      <w:r>
        <w:rPr>
          <w:lang w:val="hu-HU"/>
        </w:rPr>
        <w:t>)</w:t>
      </w:r>
    </w:p>
    <w:sectPr w:rsidR="00780CC4" w:rsidRPr="00FE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72" w:rsidRDefault="00263C72" w:rsidP="0099488E">
      <w:pPr>
        <w:spacing w:after="0" w:line="240" w:lineRule="auto"/>
      </w:pPr>
      <w:r>
        <w:separator/>
      </w:r>
    </w:p>
  </w:endnote>
  <w:endnote w:type="continuationSeparator" w:id="0">
    <w:p w:rsidR="00263C72" w:rsidRDefault="00263C72" w:rsidP="0099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72" w:rsidRDefault="00263C72" w:rsidP="0099488E">
      <w:pPr>
        <w:spacing w:after="0" w:line="240" w:lineRule="auto"/>
      </w:pPr>
      <w:r>
        <w:separator/>
      </w:r>
    </w:p>
  </w:footnote>
  <w:footnote w:type="continuationSeparator" w:id="0">
    <w:p w:rsidR="00263C72" w:rsidRDefault="00263C72" w:rsidP="0099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26F0"/>
    <w:multiLevelType w:val="hybridMultilevel"/>
    <w:tmpl w:val="66789180"/>
    <w:lvl w:ilvl="0" w:tplc="2702F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91"/>
    <w:rsid w:val="00012871"/>
    <w:rsid w:val="0008558E"/>
    <w:rsid w:val="001834B3"/>
    <w:rsid w:val="001E2A08"/>
    <w:rsid w:val="001F6A57"/>
    <w:rsid w:val="00263C72"/>
    <w:rsid w:val="00463E76"/>
    <w:rsid w:val="004E412A"/>
    <w:rsid w:val="00521CB0"/>
    <w:rsid w:val="006760C8"/>
    <w:rsid w:val="00780CC4"/>
    <w:rsid w:val="0089408D"/>
    <w:rsid w:val="008E7764"/>
    <w:rsid w:val="0099488E"/>
    <w:rsid w:val="00A31DF7"/>
    <w:rsid w:val="00B213DB"/>
    <w:rsid w:val="00C25A91"/>
    <w:rsid w:val="00E70781"/>
    <w:rsid w:val="00E83375"/>
    <w:rsid w:val="00F217DE"/>
    <w:rsid w:val="00FE4366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5847"/>
  <w15:chartTrackingRefBased/>
  <w15:docId w15:val="{374EC132-3C86-4C4F-BF8E-E4FA25FE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3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88E"/>
  </w:style>
  <w:style w:type="paragraph" w:styleId="llb">
    <w:name w:val="footer"/>
    <w:basedOn w:val="Norml"/>
    <w:link w:val="llbChar"/>
    <w:uiPriority w:val="99"/>
    <w:unhideWhenUsed/>
    <w:rsid w:val="0099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18</cp:revision>
  <dcterms:created xsi:type="dcterms:W3CDTF">2017-02-17T18:06:00Z</dcterms:created>
  <dcterms:modified xsi:type="dcterms:W3CDTF">2017-02-22T10:22:00Z</dcterms:modified>
</cp:coreProperties>
</file>