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12A" w:rsidRPr="00997D77" w:rsidRDefault="004F7301">
      <w:pPr>
        <w:rPr>
          <w:sz w:val="32"/>
          <w:szCs w:val="32"/>
        </w:rPr>
      </w:pPr>
      <w:r w:rsidRPr="00997D77">
        <w:rPr>
          <w:sz w:val="32"/>
          <w:szCs w:val="32"/>
        </w:rPr>
        <w:t>A kommunikáció formái: szóbeliség és írásbeliség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0E56" w:rsidTr="004C3F67">
        <w:tc>
          <w:tcPr>
            <w:tcW w:w="4675" w:type="dxa"/>
            <w:tcBorders>
              <w:bottom w:val="single" w:sz="4" w:space="0" w:color="auto"/>
            </w:tcBorders>
          </w:tcPr>
          <w:p w:rsidR="00860E56" w:rsidRPr="0016277E" w:rsidRDefault="00860E56">
            <w:r w:rsidRPr="0016277E">
              <w:t>Szóbeliség</w:t>
            </w:r>
          </w:p>
        </w:tc>
        <w:tc>
          <w:tcPr>
            <w:tcW w:w="4675" w:type="dxa"/>
            <w:tcBorders>
              <w:bottom w:val="single" w:sz="4" w:space="0" w:color="auto"/>
            </w:tcBorders>
          </w:tcPr>
          <w:p w:rsidR="00860E56" w:rsidRPr="0016277E" w:rsidRDefault="00860E56">
            <w:r w:rsidRPr="0016277E">
              <w:t>Írásbeliség</w:t>
            </w:r>
          </w:p>
        </w:tc>
      </w:tr>
      <w:tr w:rsidR="00860E56" w:rsidTr="004C3F67">
        <w:tc>
          <w:tcPr>
            <w:tcW w:w="4675" w:type="dxa"/>
            <w:tcBorders>
              <w:top w:val="single" w:sz="4" w:space="0" w:color="auto"/>
            </w:tcBorders>
          </w:tcPr>
          <w:p w:rsidR="00860E56" w:rsidRDefault="00860E56">
            <w:r>
              <w:t>Gyorsabb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:rsidR="00860E56" w:rsidRDefault="00860E56">
            <w:r>
              <w:t>Lassabb</w:t>
            </w:r>
          </w:p>
        </w:tc>
      </w:tr>
      <w:tr w:rsidR="00860E56" w:rsidTr="004C3F67">
        <w:tc>
          <w:tcPr>
            <w:tcW w:w="4675" w:type="dxa"/>
          </w:tcPr>
          <w:p w:rsidR="00860E56" w:rsidRDefault="00402D56">
            <w:r>
              <w:t>Egyszerűbb</w:t>
            </w:r>
          </w:p>
        </w:tc>
        <w:tc>
          <w:tcPr>
            <w:tcW w:w="4675" w:type="dxa"/>
          </w:tcPr>
          <w:p w:rsidR="00860E56" w:rsidRDefault="00402D56">
            <w:r>
              <w:t>Idő- és eszközigényes</w:t>
            </w:r>
          </w:p>
        </w:tc>
      </w:tr>
      <w:tr w:rsidR="00860E56" w:rsidTr="004C3F67">
        <w:tc>
          <w:tcPr>
            <w:tcW w:w="4675" w:type="dxa"/>
          </w:tcPr>
          <w:p w:rsidR="00860E56" w:rsidRDefault="007405CD">
            <w:r>
              <w:t>Gyors reagálás lehetséges</w:t>
            </w:r>
          </w:p>
        </w:tc>
        <w:tc>
          <w:tcPr>
            <w:tcW w:w="4675" w:type="dxa"/>
          </w:tcPr>
          <w:p w:rsidR="00860E56" w:rsidRDefault="007405CD">
            <w:r>
              <w:t>Nincs gyors reagálás</w:t>
            </w:r>
          </w:p>
        </w:tc>
      </w:tr>
      <w:tr w:rsidR="00860E56" w:rsidTr="004C3F67">
        <w:tc>
          <w:tcPr>
            <w:tcW w:w="4675" w:type="dxa"/>
          </w:tcPr>
          <w:p w:rsidR="00860E56" w:rsidRDefault="007405CD">
            <w:r>
              <w:t>Lehet kétirányú, dialogikus</w:t>
            </w:r>
          </w:p>
        </w:tc>
        <w:tc>
          <w:tcPr>
            <w:tcW w:w="4675" w:type="dxa"/>
          </w:tcPr>
          <w:p w:rsidR="00860E56" w:rsidRDefault="007405CD">
            <w:r>
              <w:t>Általában egyirányú</w:t>
            </w:r>
          </w:p>
        </w:tc>
      </w:tr>
      <w:tr w:rsidR="00860E56" w:rsidTr="004C3F67">
        <w:tc>
          <w:tcPr>
            <w:tcW w:w="4675" w:type="dxa"/>
          </w:tcPr>
          <w:p w:rsidR="00860E56" w:rsidRDefault="00C57A22">
            <w:r>
              <w:t>Fontosak a nem nyelvi eszközök</w:t>
            </w:r>
          </w:p>
        </w:tc>
        <w:tc>
          <w:tcPr>
            <w:tcW w:w="4675" w:type="dxa"/>
          </w:tcPr>
          <w:p w:rsidR="00860E56" w:rsidRDefault="00C57A22">
            <w:r>
              <w:t>Kevés nem nyelvi eszköz</w:t>
            </w:r>
          </w:p>
        </w:tc>
      </w:tr>
      <w:tr w:rsidR="00860E56" w:rsidTr="004C3F67">
        <w:tc>
          <w:tcPr>
            <w:tcW w:w="4675" w:type="dxa"/>
          </w:tcPr>
          <w:p w:rsidR="00860E56" w:rsidRDefault="00C57A22">
            <w:r>
              <w:t>Azonnali szövegalkotás</w:t>
            </w:r>
          </w:p>
        </w:tc>
        <w:tc>
          <w:tcPr>
            <w:tcW w:w="4675" w:type="dxa"/>
          </w:tcPr>
          <w:p w:rsidR="00860E56" w:rsidRDefault="00C57A22">
            <w:r>
              <w:t>Van idő a szövegalkotásra</w:t>
            </w:r>
          </w:p>
        </w:tc>
      </w:tr>
      <w:tr w:rsidR="00860E56" w:rsidTr="004C3F67">
        <w:tc>
          <w:tcPr>
            <w:tcW w:w="4675" w:type="dxa"/>
          </w:tcPr>
          <w:p w:rsidR="00860E56" w:rsidRDefault="00C57A22">
            <w:r>
              <w:t>Lazább mondatszerkesztés</w:t>
            </w:r>
          </w:p>
        </w:tc>
        <w:tc>
          <w:tcPr>
            <w:tcW w:w="4675" w:type="dxa"/>
          </w:tcPr>
          <w:p w:rsidR="00860E56" w:rsidRDefault="00C57A22">
            <w:r>
              <w:t>Igényesebb fogalmazás</w:t>
            </w:r>
          </w:p>
        </w:tc>
      </w:tr>
      <w:tr w:rsidR="00C57A22" w:rsidTr="004C3F67">
        <w:tc>
          <w:tcPr>
            <w:tcW w:w="4675" w:type="dxa"/>
          </w:tcPr>
          <w:p w:rsidR="00C57A22" w:rsidRDefault="00FC0008">
            <w:r>
              <w:t>Könnyebb befogadás</w:t>
            </w:r>
          </w:p>
          <w:p w:rsidR="00802370" w:rsidRDefault="00802370">
            <w:r>
              <w:t>Nem kerül rögzítésre</w:t>
            </w:r>
          </w:p>
        </w:tc>
        <w:tc>
          <w:tcPr>
            <w:tcW w:w="4675" w:type="dxa"/>
          </w:tcPr>
          <w:p w:rsidR="00C57A22" w:rsidRDefault="00FC0008">
            <w:r>
              <w:t>Nehezebb megérteni</w:t>
            </w:r>
          </w:p>
          <w:p w:rsidR="00802370" w:rsidRDefault="00802370">
            <w:r>
              <w:t>Rögzítésre kerül</w:t>
            </w:r>
            <w:bookmarkStart w:id="0" w:name="_GoBack"/>
            <w:bookmarkEnd w:id="0"/>
          </w:p>
        </w:tc>
      </w:tr>
    </w:tbl>
    <w:p w:rsidR="004F7301" w:rsidRDefault="004F7301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16277E" w:rsidTr="00050577">
        <w:tc>
          <w:tcPr>
            <w:tcW w:w="3116" w:type="dxa"/>
            <w:tcBorders>
              <w:bottom w:val="single" w:sz="4" w:space="0" w:color="auto"/>
            </w:tcBorders>
          </w:tcPr>
          <w:p w:rsidR="0016277E" w:rsidRDefault="0016277E">
            <w:r>
              <w:t>Kommunikációs színterek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6277E" w:rsidRDefault="0016277E">
            <w:r>
              <w:t>Szóbeli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:rsidR="0016277E" w:rsidRDefault="0016277E">
            <w:r>
              <w:t>Írásbeli</w:t>
            </w:r>
          </w:p>
        </w:tc>
      </w:tr>
      <w:tr w:rsidR="0016277E" w:rsidTr="00050577">
        <w:tc>
          <w:tcPr>
            <w:tcW w:w="3116" w:type="dxa"/>
            <w:tcBorders>
              <w:top w:val="single" w:sz="4" w:space="0" w:color="auto"/>
            </w:tcBorders>
          </w:tcPr>
          <w:p w:rsidR="0016277E" w:rsidRDefault="0016277E">
            <w:r>
              <w:t>Magánjellegű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6277E" w:rsidRDefault="0016277E">
            <w:r>
              <w:t>Beszélgetés</w:t>
            </w: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16277E" w:rsidRDefault="0016277E">
            <w:r>
              <w:t>L</w:t>
            </w:r>
            <w:r w:rsidR="00054888">
              <w:t>evé</w:t>
            </w:r>
            <w:r>
              <w:t>l</w:t>
            </w:r>
          </w:p>
        </w:tc>
      </w:tr>
      <w:tr w:rsidR="0016277E" w:rsidTr="00050577">
        <w:tc>
          <w:tcPr>
            <w:tcW w:w="3116" w:type="dxa"/>
          </w:tcPr>
          <w:p w:rsidR="0016277E" w:rsidRDefault="0016277E">
            <w:r>
              <w:t>Közéleti</w:t>
            </w:r>
          </w:p>
        </w:tc>
        <w:tc>
          <w:tcPr>
            <w:tcW w:w="3117" w:type="dxa"/>
          </w:tcPr>
          <w:p w:rsidR="0016277E" w:rsidRDefault="00BD570A">
            <w:r>
              <w:t>Ünnepi beszéd</w:t>
            </w:r>
          </w:p>
        </w:tc>
        <w:tc>
          <w:tcPr>
            <w:tcW w:w="3117" w:type="dxa"/>
          </w:tcPr>
          <w:p w:rsidR="0016277E" w:rsidRDefault="0016277E"/>
        </w:tc>
      </w:tr>
      <w:tr w:rsidR="0016277E" w:rsidTr="00050577">
        <w:tc>
          <w:tcPr>
            <w:tcW w:w="3116" w:type="dxa"/>
          </w:tcPr>
          <w:p w:rsidR="0016277E" w:rsidRDefault="00BD570A">
            <w:r>
              <w:t>Hivatalos</w:t>
            </w:r>
          </w:p>
        </w:tc>
        <w:tc>
          <w:tcPr>
            <w:tcW w:w="3117" w:type="dxa"/>
          </w:tcPr>
          <w:p w:rsidR="0016277E" w:rsidRDefault="00BD570A">
            <w:r>
              <w:t>Ügyintézés</w:t>
            </w:r>
          </w:p>
        </w:tc>
        <w:tc>
          <w:tcPr>
            <w:tcW w:w="3117" w:type="dxa"/>
          </w:tcPr>
          <w:p w:rsidR="0016277E" w:rsidRDefault="00BD570A">
            <w:r>
              <w:t>Hivatalos lev</w:t>
            </w:r>
            <w:r w:rsidR="00F07F0E">
              <w:t>él</w:t>
            </w:r>
          </w:p>
        </w:tc>
      </w:tr>
      <w:tr w:rsidR="0016277E" w:rsidTr="00050577">
        <w:tc>
          <w:tcPr>
            <w:tcW w:w="3116" w:type="dxa"/>
          </w:tcPr>
          <w:p w:rsidR="0016277E" w:rsidRDefault="00BD570A">
            <w:r>
              <w:t>Tudományos</w:t>
            </w:r>
          </w:p>
        </w:tc>
        <w:tc>
          <w:tcPr>
            <w:tcW w:w="3117" w:type="dxa"/>
          </w:tcPr>
          <w:p w:rsidR="0016277E" w:rsidRDefault="00BD570A">
            <w:r>
              <w:t>Előadás</w:t>
            </w:r>
          </w:p>
        </w:tc>
        <w:tc>
          <w:tcPr>
            <w:tcW w:w="3117" w:type="dxa"/>
          </w:tcPr>
          <w:p w:rsidR="0016277E" w:rsidRDefault="00BD570A">
            <w:r>
              <w:t>Tanulmány, cikk</w:t>
            </w:r>
          </w:p>
        </w:tc>
      </w:tr>
      <w:tr w:rsidR="0016277E" w:rsidTr="00050577">
        <w:tc>
          <w:tcPr>
            <w:tcW w:w="3116" w:type="dxa"/>
          </w:tcPr>
          <w:p w:rsidR="0016277E" w:rsidRDefault="00BD570A">
            <w:r>
              <w:t>Egyházi</w:t>
            </w:r>
          </w:p>
        </w:tc>
        <w:tc>
          <w:tcPr>
            <w:tcW w:w="3117" w:type="dxa"/>
          </w:tcPr>
          <w:p w:rsidR="0016277E" w:rsidRDefault="00BD570A">
            <w:r>
              <w:t>Prédikáció, ima</w:t>
            </w:r>
          </w:p>
        </w:tc>
        <w:tc>
          <w:tcPr>
            <w:tcW w:w="3117" w:type="dxa"/>
          </w:tcPr>
          <w:p w:rsidR="0016277E" w:rsidRDefault="00BD570A">
            <w:r>
              <w:t>Zsoltár</w:t>
            </w:r>
          </w:p>
        </w:tc>
      </w:tr>
      <w:tr w:rsidR="0016277E" w:rsidTr="00050577">
        <w:tc>
          <w:tcPr>
            <w:tcW w:w="3116" w:type="dxa"/>
          </w:tcPr>
          <w:p w:rsidR="0016277E" w:rsidRDefault="00BD570A">
            <w:r>
              <w:t>Publicisztikai</w:t>
            </w:r>
          </w:p>
        </w:tc>
        <w:tc>
          <w:tcPr>
            <w:tcW w:w="3117" w:type="dxa"/>
          </w:tcPr>
          <w:p w:rsidR="0016277E" w:rsidRDefault="00BD570A">
            <w:r>
              <w:t>Interjú, riport</w:t>
            </w:r>
          </w:p>
        </w:tc>
        <w:tc>
          <w:tcPr>
            <w:tcW w:w="3117" w:type="dxa"/>
          </w:tcPr>
          <w:p w:rsidR="0016277E" w:rsidRDefault="00BD570A">
            <w:r>
              <w:t>Interjú, riport</w:t>
            </w:r>
          </w:p>
        </w:tc>
      </w:tr>
      <w:tr w:rsidR="0016277E" w:rsidTr="00050577">
        <w:tc>
          <w:tcPr>
            <w:tcW w:w="3116" w:type="dxa"/>
          </w:tcPr>
          <w:p w:rsidR="0016277E" w:rsidRDefault="00BD570A">
            <w:r>
              <w:t>Szépirodalmi</w:t>
            </w:r>
          </w:p>
        </w:tc>
        <w:tc>
          <w:tcPr>
            <w:tcW w:w="3117" w:type="dxa"/>
          </w:tcPr>
          <w:p w:rsidR="0016277E" w:rsidRDefault="00BD570A">
            <w:r>
              <w:t>Versmondás</w:t>
            </w:r>
          </w:p>
        </w:tc>
        <w:tc>
          <w:tcPr>
            <w:tcW w:w="3117" w:type="dxa"/>
          </w:tcPr>
          <w:p w:rsidR="0016277E" w:rsidRDefault="00BD570A">
            <w:r>
              <w:t>Szépirodalmi alkotás</w:t>
            </w:r>
          </w:p>
        </w:tc>
      </w:tr>
    </w:tbl>
    <w:p w:rsidR="0016277E" w:rsidRDefault="0016277E"/>
    <w:sectPr w:rsidR="001627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6"/>
    <w:rsid w:val="00050577"/>
    <w:rsid w:val="00054888"/>
    <w:rsid w:val="0016277E"/>
    <w:rsid w:val="00402D56"/>
    <w:rsid w:val="004C3F67"/>
    <w:rsid w:val="004E412A"/>
    <w:rsid w:val="004F7301"/>
    <w:rsid w:val="006B1BF0"/>
    <w:rsid w:val="007405CD"/>
    <w:rsid w:val="007F12BA"/>
    <w:rsid w:val="00802370"/>
    <w:rsid w:val="00860E56"/>
    <w:rsid w:val="00997D77"/>
    <w:rsid w:val="00BD570A"/>
    <w:rsid w:val="00C57A22"/>
    <w:rsid w:val="00CA0556"/>
    <w:rsid w:val="00F07F0E"/>
    <w:rsid w:val="00FC0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E14FE"/>
  <w15:chartTrackingRefBased/>
  <w15:docId w15:val="{A703F26C-4067-4249-8602-1397DC42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60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9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EDU_KPEP_4515@sulid.hu</dc:creator>
  <cp:keywords/>
  <dc:description/>
  <cp:lastModifiedBy>EDU_KPEP_4515@sulid.hu</cp:lastModifiedBy>
  <cp:revision>19</cp:revision>
  <dcterms:created xsi:type="dcterms:W3CDTF">2017-02-17T18:22:00Z</dcterms:created>
  <dcterms:modified xsi:type="dcterms:W3CDTF">2017-02-22T10:23:00Z</dcterms:modified>
</cp:coreProperties>
</file>